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E5AC6" w14:textId="49181342" w:rsidR="00AC3516" w:rsidRDefault="00AC3516" w:rsidP="00AC3516">
      <w:pPr>
        <w:spacing w:after="0" w:line="240" w:lineRule="auto"/>
        <w:rPr>
          <w:b/>
          <w:bCs/>
        </w:rPr>
      </w:pPr>
      <w:r>
        <w:rPr>
          <w:b/>
          <w:bCs/>
        </w:rPr>
        <w:t>Major Administrative Law</w:t>
      </w:r>
      <w:r w:rsidR="00E031E9">
        <w:rPr>
          <w:b/>
          <w:bCs/>
        </w:rPr>
        <w:t xml:space="preserve"> Cases</w:t>
      </w:r>
    </w:p>
    <w:p w14:paraId="47EF1B35" w14:textId="77777777" w:rsidR="00AC3516" w:rsidRDefault="00AC3516" w:rsidP="00AC3516">
      <w:pPr>
        <w:spacing w:after="0" w:line="240" w:lineRule="auto"/>
        <w:rPr>
          <w:b/>
          <w:bCs/>
        </w:rPr>
      </w:pPr>
    </w:p>
    <w:p w14:paraId="2C87A393" w14:textId="77777777" w:rsidR="00AC3516" w:rsidRDefault="00AC3516" w:rsidP="00AC3516">
      <w:pPr>
        <w:spacing w:after="0" w:line="240" w:lineRule="auto"/>
        <w:rPr>
          <w:b/>
          <w:bCs/>
        </w:rPr>
      </w:pPr>
    </w:p>
    <w:p w14:paraId="16A022B7" w14:textId="25CD16C4" w:rsidR="00AC3516" w:rsidRDefault="00AC3516" w:rsidP="00AC3516">
      <w:pPr>
        <w:spacing w:after="0" w:line="240" w:lineRule="auto"/>
        <w:rPr>
          <w:b/>
          <w:bCs/>
        </w:rPr>
      </w:pPr>
      <w:r w:rsidRPr="00AC3516">
        <w:rPr>
          <w:b/>
          <w:bCs/>
        </w:rPr>
        <w:t>2023 Term</w:t>
      </w:r>
    </w:p>
    <w:p w14:paraId="7AAE2425" w14:textId="77777777" w:rsidR="00AC3516" w:rsidRPr="00AC3516" w:rsidRDefault="00AC3516" w:rsidP="00AC3516">
      <w:pPr>
        <w:spacing w:after="0" w:line="240" w:lineRule="auto"/>
        <w:rPr>
          <w:b/>
          <w:bCs/>
        </w:rPr>
      </w:pPr>
    </w:p>
    <w:p w14:paraId="6F0A699A" w14:textId="77777777" w:rsidR="00AC3516" w:rsidRDefault="00AC3516" w:rsidP="00AC3516">
      <w:pPr>
        <w:pStyle w:val="ListParagraph"/>
        <w:numPr>
          <w:ilvl w:val="0"/>
          <w:numId w:val="1"/>
        </w:numPr>
        <w:spacing w:after="0" w:line="240" w:lineRule="auto"/>
      </w:pPr>
      <w:r w:rsidRPr="00AC3516">
        <w:rPr>
          <w:i/>
          <w:iCs/>
        </w:rPr>
        <w:t>Loper Bright Enterprises v. Raimondo</w:t>
      </w:r>
      <w:r>
        <w:t>, No. 22-451</w:t>
      </w:r>
      <w:r>
        <w:t xml:space="preserve"> (June </w:t>
      </w:r>
      <w:r>
        <w:t>28</w:t>
      </w:r>
      <w:r>
        <w:t xml:space="preserve">, </w:t>
      </w:r>
      <w:r>
        <w:t>2024</w:t>
      </w:r>
      <w:r>
        <w:t>)</w:t>
      </w:r>
    </w:p>
    <w:p w14:paraId="11DE22D6" w14:textId="77777777" w:rsidR="00342B88" w:rsidRDefault="00342B88" w:rsidP="00AC3516">
      <w:pPr>
        <w:pStyle w:val="ListParagraph"/>
        <w:spacing w:after="0" w:line="240" w:lineRule="auto"/>
      </w:pPr>
    </w:p>
    <w:p w14:paraId="56CAA8BD" w14:textId="29C8A7E7" w:rsidR="00AC3516" w:rsidRDefault="00AC3516" w:rsidP="00AC3516">
      <w:pPr>
        <w:pStyle w:val="ListParagraph"/>
        <w:spacing w:after="0" w:line="240" w:lineRule="auto"/>
      </w:pPr>
      <w:r>
        <w:t>Held</w:t>
      </w:r>
      <w:proofErr w:type="gramStart"/>
      <w:r>
        <w:t xml:space="preserve">:  </w:t>
      </w:r>
      <w:r>
        <w:t>The</w:t>
      </w:r>
      <w:proofErr w:type="gramEnd"/>
      <w:r>
        <w:t xml:space="preserve"> Administrative Procedure Act requires courts to exercise their independent judgment in deciding whether an agency has acted within its statutory authority, and courts may not defer to an agency interpretation of the law simply because a statute is ambiguous</w:t>
      </w:r>
      <w:r>
        <w:t xml:space="preserve">.  </w:t>
      </w:r>
      <w:r w:rsidRPr="00AC3516">
        <w:rPr>
          <w:i/>
          <w:iCs/>
        </w:rPr>
        <w:t>Chevron v. Natural Resources Defense Council</w:t>
      </w:r>
      <w:r>
        <w:t xml:space="preserve"> </w:t>
      </w:r>
      <w:r>
        <w:t xml:space="preserve">(the basis for so called </w:t>
      </w:r>
      <w:r w:rsidRPr="00AC3516">
        <w:rPr>
          <w:i/>
          <w:iCs/>
        </w:rPr>
        <w:t>Chevron</w:t>
      </w:r>
      <w:r>
        <w:t xml:space="preserve"> deference) </w:t>
      </w:r>
      <w:r>
        <w:t>is overruled.</w:t>
      </w:r>
    </w:p>
    <w:p w14:paraId="2FECBDD8" w14:textId="77777777" w:rsidR="00AC3516" w:rsidRDefault="00AC3516" w:rsidP="00AC3516">
      <w:pPr>
        <w:spacing w:after="0" w:line="240" w:lineRule="auto"/>
      </w:pPr>
    </w:p>
    <w:p w14:paraId="2C9D43A2" w14:textId="77777777" w:rsidR="00AC3516" w:rsidRDefault="00AC3516" w:rsidP="00AC3516">
      <w:pPr>
        <w:pStyle w:val="ListParagraph"/>
        <w:numPr>
          <w:ilvl w:val="0"/>
          <w:numId w:val="1"/>
        </w:numPr>
        <w:spacing w:after="0" w:line="240" w:lineRule="auto"/>
      </w:pPr>
      <w:r w:rsidRPr="00AC3516">
        <w:rPr>
          <w:i/>
          <w:iCs/>
        </w:rPr>
        <w:t>Securities and Exchange Commission v. Jarkesy</w:t>
      </w:r>
      <w:r>
        <w:t xml:space="preserve">, No. 22-859 </w:t>
      </w:r>
      <w:r>
        <w:t xml:space="preserve">(June </w:t>
      </w:r>
      <w:r>
        <w:t>27</w:t>
      </w:r>
      <w:r>
        <w:t xml:space="preserve">, </w:t>
      </w:r>
      <w:r>
        <w:t>2024</w:t>
      </w:r>
      <w:r>
        <w:t>)</w:t>
      </w:r>
    </w:p>
    <w:p w14:paraId="43AB6E5C" w14:textId="77777777" w:rsidR="00342B88" w:rsidRDefault="00342B88" w:rsidP="00342B88">
      <w:pPr>
        <w:pStyle w:val="ListParagraph"/>
        <w:spacing w:after="0" w:line="240" w:lineRule="auto"/>
      </w:pPr>
    </w:p>
    <w:p w14:paraId="463116B3" w14:textId="6E24D994" w:rsidR="00AC3516" w:rsidRDefault="00AC3516" w:rsidP="00AC3516">
      <w:pPr>
        <w:pStyle w:val="ListParagraph"/>
        <w:spacing w:after="0" w:line="240" w:lineRule="auto"/>
      </w:pPr>
      <w:r>
        <w:t xml:space="preserve">Held: </w:t>
      </w:r>
      <w:r w:rsidR="00342B88">
        <w:t>W</w:t>
      </w:r>
      <w:r>
        <w:t>hen an agency</w:t>
      </w:r>
      <w:r>
        <w:t xml:space="preserve"> seeks civil penalties against a defendant, the Seventh Amendment entitles the defendant to a jury trial.</w:t>
      </w:r>
    </w:p>
    <w:p w14:paraId="4A27A72C" w14:textId="77777777" w:rsidR="00AC3516" w:rsidRDefault="00AC3516" w:rsidP="00AC3516">
      <w:pPr>
        <w:spacing w:after="0" w:line="240" w:lineRule="auto"/>
      </w:pPr>
    </w:p>
    <w:p w14:paraId="4B55C381" w14:textId="77777777" w:rsidR="00AC3516" w:rsidRPr="00AC3516" w:rsidRDefault="00AC3516" w:rsidP="00AC3516">
      <w:pPr>
        <w:spacing w:after="0" w:line="240" w:lineRule="auto"/>
        <w:rPr>
          <w:b/>
          <w:bCs/>
        </w:rPr>
      </w:pPr>
    </w:p>
    <w:p w14:paraId="6E2488AA" w14:textId="65E6B7D4" w:rsidR="00AC3516" w:rsidRDefault="00AC3516" w:rsidP="00AC3516">
      <w:pPr>
        <w:spacing w:after="0" w:line="240" w:lineRule="auto"/>
        <w:rPr>
          <w:b/>
          <w:bCs/>
        </w:rPr>
      </w:pPr>
      <w:r w:rsidRPr="00AC3516">
        <w:rPr>
          <w:b/>
          <w:bCs/>
        </w:rPr>
        <w:t>2024 Term</w:t>
      </w:r>
    </w:p>
    <w:p w14:paraId="7022F6A6" w14:textId="77777777" w:rsidR="00AC3516" w:rsidRPr="00AC3516" w:rsidRDefault="00AC3516" w:rsidP="00AC3516">
      <w:pPr>
        <w:spacing w:after="0" w:line="240" w:lineRule="auto"/>
        <w:rPr>
          <w:b/>
          <w:bCs/>
        </w:rPr>
      </w:pPr>
    </w:p>
    <w:p w14:paraId="4730E403" w14:textId="205E0032" w:rsidR="00AC3516" w:rsidRDefault="00AC3516" w:rsidP="00AC3516">
      <w:pPr>
        <w:pStyle w:val="ListParagraph"/>
        <w:numPr>
          <w:ilvl w:val="0"/>
          <w:numId w:val="1"/>
        </w:numPr>
        <w:spacing w:after="0" w:line="240" w:lineRule="auto"/>
      </w:pPr>
      <w:r w:rsidRPr="00AC3516">
        <w:rPr>
          <w:i/>
          <w:iCs/>
        </w:rPr>
        <w:t>Federal Communications Commission v. Consumers’ Research</w:t>
      </w:r>
      <w:r>
        <w:t>, No. 24-354</w:t>
      </w:r>
    </w:p>
    <w:p w14:paraId="03EB7B17" w14:textId="77777777" w:rsidR="00342B88" w:rsidRDefault="00342B88" w:rsidP="00AC3516">
      <w:pPr>
        <w:pStyle w:val="ListParagraph"/>
        <w:spacing w:after="0" w:line="240" w:lineRule="auto"/>
      </w:pPr>
    </w:p>
    <w:p w14:paraId="42FEF630" w14:textId="11EB1E06" w:rsidR="00342B88" w:rsidRDefault="00342B88" w:rsidP="00AC3516">
      <w:pPr>
        <w:pStyle w:val="ListParagraph"/>
        <w:spacing w:after="0" w:line="240" w:lineRule="auto"/>
      </w:pPr>
      <w:r>
        <w:t xml:space="preserve">Issues: </w:t>
      </w:r>
    </w:p>
    <w:p w14:paraId="2614121C" w14:textId="513A41E6" w:rsidR="00AC3516" w:rsidRDefault="00AC3516" w:rsidP="00342B88">
      <w:pPr>
        <w:pStyle w:val="ListParagraph"/>
        <w:numPr>
          <w:ilvl w:val="1"/>
          <w:numId w:val="1"/>
        </w:numPr>
        <w:spacing w:after="0" w:line="240" w:lineRule="auto"/>
      </w:pPr>
      <w:r>
        <w:t xml:space="preserve">Whether Congress violated the nondelegation doctrine by authorizing the Federal Communications Commission to determine the amount that </w:t>
      </w:r>
      <w:r>
        <w:t xml:space="preserve">telecommunication </w:t>
      </w:r>
      <w:r>
        <w:t xml:space="preserve">providers must contribute to </w:t>
      </w:r>
      <w:r>
        <w:t xml:space="preserve">a federal fund that supports telecommunication services. </w:t>
      </w:r>
    </w:p>
    <w:p w14:paraId="6FD94557" w14:textId="77777777" w:rsidR="00342B88" w:rsidRDefault="00342B88" w:rsidP="00342B88">
      <w:pPr>
        <w:pStyle w:val="ListParagraph"/>
        <w:spacing w:after="0" w:line="240" w:lineRule="auto"/>
        <w:ind w:left="1440"/>
      </w:pPr>
    </w:p>
    <w:p w14:paraId="00BB3649" w14:textId="0EF2C03C" w:rsidR="00AC3516" w:rsidRDefault="00AC3516" w:rsidP="00342B88">
      <w:pPr>
        <w:pStyle w:val="ListParagraph"/>
        <w:numPr>
          <w:ilvl w:val="1"/>
          <w:numId w:val="1"/>
        </w:numPr>
        <w:spacing w:after="0" w:line="240" w:lineRule="auto"/>
      </w:pPr>
      <w:r>
        <w:t xml:space="preserve">whether the FCC violated the nondelegation doctrine by </w:t>
      </w:r>
      <w:r>
        <w:t xml:space="preserve">relying on </w:t>
      </w:r>
      <w:r>
        <w:t xml:space="preserve">the financial projections of </w:t>
      </w:r>
      <w:r>
        <w:t>a</w:t>
      </w:r>
      <w:r>
        <w:t xml:space="preserve"> private company in computing </w:t>
      </w:r>
      <w:r>
        <w:t xml:space="preserve">the </w:t>
      </w:r>
      <w:r>
        <w:t>contribution rates</w:t>
      </w:r>
      <w:r>
        <w:t>.</w:t>
      </w:r>
    </w:p>
    <w:p w14:paraId="61090BC5" w14:textId="77777777" w:rsidR="00AC3516" w:rsidRDefault="00AC3516" w:rsidP="00AC3516">
      <w:pPr>
        <w:spacing w:after="0" w:line="240" w:lineRule="auto"/>
      </w:pPr>
    </w:p>
    <w:p w14:paraId="11839A26" w14:textId="77777777" w:rsidR="00342B88" w:rsidRDefault="00342B88" w:rsidP="00AC3516">
      <w:pPr>
        <w:spacing w:after="0" w:line="240" w:lineRule="auto"/>
      </w:pPr>
    </w:p>
    <w:p w14:paraId="135B04BF" w14:textId="77777777" w:rsidR="00AC3516" w:rsidRDefault="00AC3516" w:rsidP="00AC3516">
      <w:pPr>
        <w:pStyle w:val="ListParagraph"/>
        <w:numPr>
          <w:ilvl w:val="0"/>
          <w:numId w:val="1"/>
        </w:numPr>
        <w:spacing w:after="0" w:line="240" w:lineRule="auto"/>
      </w:pPr>
      <w:r w:rsidRPr="00AC3516">
        <w:rPr>
          <w:i/>
          <w:iCs/>
        </w:rPr>
        <w:t>Diamond Alternative Energy LLC v. Environmental Protection Agency</w:t>
      </w:r>
      <w:r>
        <w:t>, No. 24-7</w:t>
      </w:r>
    </w:p>
    <w:p w14:paraId="20A17C28" w14:textId="77777777" w:rsidR="00342B88" w:rsidRDefault="00342B88" w:rsidP="00342B88">
      <w:pPr>
        <w:pStyle w:val="ListParagraph"/>
        <w:spacing w:after="0" w:line="240" w:lineRule="auto"/>
      </w:pPr>
    </w:p>
    <w:p w14:paraId="58E16A46" w14:textId="068B9474" w:rsidR="00AC3516" w:rsidRDefault="00342B88" w:rsidP="00342B88">
      <w:pPr>
        <w:pStyle w:val="ListParagraph"/>
        <w:spacing w:after="0" w:line="240" w:lineRule="auto"/>
      </w:pPr>
      <w:r>
        <w:t xml:space="preserve">Issue: </w:t>
      </w:r>
      <w:r w:rsidR="00AC3516">
        <w:t xml:space="preserve">Whether a party </w:t>
      </w:r>
      <w:r w:rsidR="00AC3516">
        <w:t xml:space="preserve">has standing to sue to challenge a regulation, if the injury alleged is the consequence of how the regulation affects a third party. </w:t>
      </w:r>
      <w:r>
        <w:t xml:space="preserve"> </w:t>
      </w:r>
      <w:r w:rsidR="00AC3516">
        <w:t>For example, if a regulation requires car manufacturers to switch to electric vehicles</w:t>
      </w:r>
      <w:proofErr w:type="gramStart"/>
      <w:r w:rsidR="00AC3516">
        <w:t>, do</w:t>
      </w:r>
      <w:proofErr w:type="gramEnd"/>
      <w:r w:rsidR="00AC3516">
        <w:t xml:space="preserve"> fuel companies (which are not subject to the regulation) have standing to challenge the regulation based on the reduced demand for fuel resulting from the manufacturers’ switch to electric vehicles.</w:t>
      </w:r>
    </w:p>
    <w:sectPr w:rsidR="00AC3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D1198"/>
    <w:multiLevelType w:val="hybridMultilevel"/>
    <w:tmpl w:val="C4905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A00D6"/>
    <w:multiLevelType w:val="hybridMultilevel"/>
    <w:tmpl w:val="BBBCD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7712300">
    <w:abstractNumId w:val="0"/>
  </w:num>
  <w:num w:numId="2" w16cid:durableId="1820267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16"/>
    <w:rsid w:val="00342B88"/>
    <w:rsid w:val="00700164"/>
    <w:rsid w:val="00AC3516"/>
    <w:rsid w:val="00CD6D39"/>
    <w:rsid w:val="00D93256"/>
    <w:rsid w:val="00E031E9"/>
    <w:rsid w:val="00E82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BE3C2"/>
  <w15:chartTrackingRefBased/>
  <w15:docId w15:val="{F5844475-1150-4BF9-B365-862A9EA62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5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5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5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5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35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35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5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5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5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5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5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5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5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35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35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5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5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516"/>
    <w:rPr>
      <w:rFonts w:eastAsiaTheme="majorEastAsia" w:cstheme="majorBidi"/>
      <w:color w:val="272727" w:themeColor="text1" w:themeTint="D8"/>
    </w:rPr>
  </w:style>
  <w:style w:type="paragraph" w:styleId="Title">
    <w:name w:val="Title"/>
    <w:basedOn w:val="Normal"/>
    <w:next w:val="Normal"/>
    <w:link w:val="TitleChar"/>
    <w:uiPriority w:val="10"/>
    <w:qFormat/>
    <w:rsid w:val="00AC35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5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5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5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516"/>
    <w:pPr>
      <w:spacing w:before="160"/>
      <w:jc w:val="center"/>
    </w:pPr>
    <w:rPr>
      <w:i/>
      <w:iCs/>
      <w:color w:val="404040" w:themeColor="text1" w:themeTint="BF"/>
    </w:rPr>
  </w:style>
  <w:style w:type="character" w:customStyle="1" w:styleId="QuoteChar">
    <w:name w:val="Quote Char"/>
    <w:basedOn w:val="DefaultParagraphFont"/>
    <w:link w:val="Quote"/>
    <w:uiPriority w:val="29"/>
    <w:rsid w:val="00AC3516"/>
    <w:rPr>
      <w:i/>
      <w:iCs/>
      <w:color w:val="404040" w:themeColor="text1" w:themeTint="BF"/>
    </w:rPr>
  </w:style>
  <w:style w:type="paragraph" w:styleId="ListParagraph">
    <w:name w:val="List Paragraph"/>
    <w:basedOn w:val="Normal"/>
    <w:uiPriority w:val="34"/>
    <w:qFormat/>
    <w:rsid w:val="00AC3516"/>
    <w:pPr>
      <w:ind w:left="720"/>
      <w:contextualSpacing/>
    </w:pPr>
  </w:style>
  <w:style w:type="character" w:styleId="IntenseEmphasis">
    <w:name w:val="Intense Emphasis"/>
    <w:basedOn w:val="DefaultParagraphFont"/>
    <w:uiPriority w:val="21"/>
    <w:qFormat/>
    <w:rsid w:val="00AC3516"/>
    <w:rPr>
      <w:i/>
      <w:iCs/>
      <w:color w:val="0F4761" w:themeColor="accent1" w:themeShade="BF"/>
    </w:rPr>
  </w:style>
  <w:style w:type="paragraph" w:styleId="IntenseQuote">
    <w:name w:val="Intense Quote"/>
    <w:basedOn w:val="Normal"/>
    <w:next w:val="Normal"/>
    <w:link w:val="IntenseQuoteChar"/>
    <w:uiPriority w:val="30"/>
    <w:qFormat/>
    <w:rsid w:val="00AC35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516"/>
    <w:rPr>
      <w:i/>
      <w:iCs/>
      <w:color w:val="0F4761" w:themeColor="accent1" w:themeShade="BF"/>
    </w:rPr>
  </w:style>
  <w:style w:type="character" w:styleId="IntenseReference">
    <w:name w:val="Intense Reference"/>
    <w:basedOn w:val="DefaultParagraphFont"/>
    <w:uiPriority w:val="32"/>
    <w:qFormat/>
    <w:rsid w:val="00AC3516"/>
    <w:rPr>
      <w:b/>
      <w:bCs/>
      <w:smallCaps/>
      <w:color w:val="0F4761" w:themeColor="accent1" w:themeShade="BF"/>
      <w:spacing w:val="5"/>
    </w:rPr>
  </w:style>
  <w:style w:type="character" w:styleId="Hyperlink">
    <w:name w:val="Hyperlink"/>
    <w:basedOn w:val="DefaultParagraphFont"/>
    <w:uiPriority w:val="99"/>
    <w:unhideWhenUsed/>
    <w:rsid w:val="00AC3516"/>
    <w:rPr>
      <w:color w:val="467886" w:themeColor="hyperlink"/>
      <w:u w:val="single"/>
    </w:rPr>
  </w:style>
  <w:style w:type="character" w:styleId="UnresolvedMention">
    <w:name w:val="Unresolved Mention"/>
    <w:basedOn w:val="DefaultParagraphFont"/>
    <w:uiPriority w:val="99"/>
    <w:semiHidden/>
    <w:unhideWhenUsed/>
    <w:rsid w:val="00AC3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115793">
      <w:bodyDiv w:val="1"/>
      <w:marLeft w:val="0"/>
      <w:marRight w:val="0"/>
      <w:marTop w:val="0"/>
      <w:marBottom w:val="0"/>
      <w:divBdr>
        <w:top w:val="none" w:sz="0" w:space="0" w:color="auto"/>
        <w:left w:val="none" w:sz="0" w:space="0" w:color="auto"/>
        <w:bottom w:val="none" w:sz="0" w:space="0" w:color="auto"/>
        <w:right w:val="none" w:sz="0" w:space="0" w:color="auto"/>
      </w:divBdr>
      <w:divsChild>
        <w:div w:id="1439180211">
          <w:marLeft w:val="0"/>
          <w:marRight w:val="0"/>
          <w:marTop w:val="0"/>
          <w:marBottom w:val="0"/>
          <w:divBdr>
            <w:top w:val="none" w:sz="0" w:space="0" w:color="auto"/>
            <w:left w:val="none" w:sz="0" w:space="0" w:color="auto"/>
            <w:bottom w:val="none" w:sz="0" w:space="0" w:color="auto"/>
            <w:right w:val="none" w:sz="0" w:space="0" w:color="auto"/>
          </w:divBdr>
        </w:div>
        <w:div w:id="1598098791">
          <w:marLeft w:val="0"/>
          <w:marRight w:val="0"/>
          <w:marTop w:val="0"/>
          <w:marBottom w:val="0"/>
          <w:divBdr>
            <w:top w:val="none" w:sz="0" w:space="0" w:color="auto"/>
            <w:left w:val="none" w:sz="0" w:space="0" w:color="auto"/>
            <w:bottom w:val="none" w:sz="0" w:space="0" w:color="auto"/>
            <w:right w:val="none" w:sz="0" w:space="0" w:color="auto"/>
          </w:divBdr>
        </w:div>
      </w:divsChild>
    </w:div>
    <w:div w:id="1753235551">
      <w:bodyDiv w:val="1"/>
      <w:marLeft w:val="0"/>
      <w:marRight w:val="0"/>
      <w:marTop w:val="0"/>
      <w:marBottom w:val="0"/>
      <w:divBdr>
        <w:top w:val="none" w:sz="0" w:space="0" w:color="auto"/>
        <w:left w:val="none" w:sz="0" w:space="0" w:color="auto"/>
        <w:bottom w:val="none" w:sz="0" w:space="0" w:color="auto"/>
        <w:right w:val="none" w:sz="0" w:space="0" w:color="auto"/>
      </w:divBdr>
      <w:divsChild>
        <w:div w:id="1533153460">
          <w:marLeft w:val="0"/>
          <w:marRight w:val="0"/>
          <w:marTop w:val="0"/>
          <w:marBottom w:val="0"/>
          <w:divBdr>
            <w:top w:val="none" w:sz="0" w:space="0" w:color="auto"/>
            <w:left w:val="none" w:sz="0" w:space="0" w:color="auto"/>
            <w:bottom w:val="none" w:sz="0" w:space="0" w:color="auto"/>
            <w:right w:val="none" w:sz="0" w:space="0" w:color="auto"/>
          </w:divBdr>
        </w:div>
        <w:div w:id="1383286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Hessick, Andy</dc:creator>
  <cp:keywords/>
  <dc:description/>
  <cp:lastModifiedBy>Hessick, Andy</cp:lastModifiedBy>
  <cp:revision>2</cp:revision>
  <dcterms:created xsi:type="dcterms:W3CDTF">2025-02-03T16:04:00Z</dcterms:created>
  <dcterms:modified xsi:type="dcterms:W3CDTF">2025-02-03T16:18:00Z</dcterms:modified>
</cp:coreProperties>
</file>