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3A80" w14:textId="3F292458" w:rsidR="00DE14B6" w:rsidRPr="00686571" w:rsidRDefault="00DE14B6" w:rsidP="00686571">
      <w:pPr>
        <w:spacing w:after="0" w:line="240" w:lineRule="auto"/>
        <w:rPr>
          <w:b/>
          <w:bCs/>
          <w:sz w:val="36"/>
          <w:szCs w:val="36"/>
        </w:rPr>
      </w:pPr>
      <w:r w:rsidRPr="00686571">
        <w:rPr>
          <w:b/>
          <w:bCs/>
          <w:sz w:val="36"/>
          <w:szCs w:val="36"/>
        </w:rPr>
        <w:t xml:space="preserve">Festival of </w:t>
      </w:r>
      <w:r w:rsidR="00686571" w:rsidRPr="00686571">
        <w:rPr>
          <w:b/>
          <w:bCs/>
          <w:sz w:val="36"/>
          <w:szCs w:val="36"/>
        </w:rPr>
        <w:t xml:space="preserve">Legal Learning — </w:t>
      </w:r>
      <w:r w:rsidRPr="00686571">
        <w:rPr>
          <w:b/>
          <w:bCs/>
          <w:sz w:val="36"/>
          <w:szCs w:val="36"/>
        </w:rPr>
        <w:t>Supreme Court Program</w:t>
      </w:r>
    </w:p>
    <w:p w14:paraId="30C16929" w14:textId="1CD7178D" w:rsidR="00DE14B6" w:rsidRPr="00686571" w:rsidRDefault="00686571" w:rsidP="00686571">
      <w:pPr>
        <w:spacing w:after="0" w:line="240" w:lineRule="auto"/>
        <w:rPr>
          <w:b/>
          <w:bCs/>
          <w:sz w:val="28"/>
          <w:szCs w:val="28"/>
        </w:rPr>
      </w:pPr>
      <w:r w:rsidRPr="00686571">
        <w:rPr>
          <w:b/>
          <w:bCs/>
          <w:sz w:val="28"/>
          <w:szCs w:val="28"/>
        </w:rPr>
        <w:t>Elizabeth Fisher, Andy Hessick, Rick Simpson</w:t>
      </w:r>
    </w:p>
    <w:p w14:paraId="5E95A489" w14:textId="77777777" w:rsidR="00686571" w:rsidRDefault="00686571" w:rsidP="00302D3E">
      <w:pPr>
        <w:rPr>
          <w:b/>
          <w:bCs/>
          <w:i/>
          <w:iCs/>
        </w:rPr>
      </w:pPr>
    </w:p>
    <w:p w14:paraId="086AE3EE" w14:textId="77777777" w:rsidR="00686571" w:rsidRPr="003162A6" w:rsidRDefault="00686571" w:rsidP="00302D3E">
      <w:pPr>
        <w:rPr>
          <w:b/>
          <w:bCs/>
          <w:u w:val="single"/>
        </w:rPr>
      </w:pPr>
    </w:p>
    <w:p w14:paraId="6B094222" w14:textId="2E18CFAD" w:rsidR="003162A6" w:rsidRDefault="003162A6" w:rsidP="00302D3E">
      <w:pPr>
        <w:rPr>
          <w:b/>
          <w:bCs/>
          <w:u w:val="single"/>
        </w:rPr>
      </w:pPr>
      <w:r w:rsidRPr="003162A6">
        <w:rPr>
          <w:b/>
          <w:bCs/>
          <w:u w:val="single"/>
        </w:rPr>
        <w:t>Main Briefs</w:t>
      </w:r>
    </w:p>
    <w:p w14:paraId="7B2D2B64" w14:textId="77777777" w:rsidR="00257B88" w:rsidRPr="003162A6" w:rsidRDefault="00257B88" w:rsidP="00302D3E">
      <w:pPr>
        <w:rPr>
          <w:b/>
          <w:bCs/>
          <w:u w:val="single"/>
        </w:rPr>
      </w:pPr>
    </w:p>
    <w:p w14:paraId="636A7218" w14:textId="7978F7A5" w:rsidR="00302D3E" w:rsidRPr="00345C7D" w:rsidRDefault="00302D3E" w:rsidP="00302D3E">
      <w:pPr>
        <w:rPr>
          <w:b/>
          <w:bCs/>
          <w:i/>
          <w:iCs/>
        </w:rPr>
      </w:pPr>
      <w:r w:rsidRPr="00345C7D">
        <w:rPr>
          <w:b/>
          <w:bCs/>
          <w:i/>
          <w:iCs/>
        </w:rPr>
        <w:t xml:space="preserve">Johns v. Georgia, 25-689  </w:t>
      </w:r>
    </w:p>
    <w:p w14:paraId="219D3B5C" w14:textId="42D82C15" w:rsidR="00302D3E" w:rsidRPr="00302D3E" w:rsidRDefault="00302D3E" w:rsidP="00302D3E">
      <w:r w:rsidRPr="00345C7D">
        <w:rPr>
          <w:b/>
          <w:bCs/>
        </w:rPr>
        <w:t>Question presented</w:t>
      </w:r>
      <w:proofErr w:type="gramStart"/>
      <w:r w:rsidRPr="00345C7D">
        <w:rPr>
          <w:b/>
          <w:bCs/>
        </w:rPr>
        <w:t xml:space="preserve">: </w:t>
      </w:r>
      <w:r>
        <w:t xml:space="preserve"> </w:t>
      </w:r>
      <w:r w:rsidRPr="00302D3E">
        <w:t>A</w:t>
      </w:r>
      <w:proofErr w:type="gramEnd"/>
      <w:r w:rsidRPr="00302D3E">
        <w:t xml:space="preserve"> forensic pathologist who performed an autopsy on a homicide victim was unavailable for trial.  In her place, the State of Georgia offered testimony by a “peer review” pathologist who did not participate in the autopsy but testified as to the results based on her review of the autopsy materials.  Does the surrogate’s oral recitation of testimonial hearsay from an unadmitted autopsy report violate the Confrontation Clause?</w:t>
      </w:r>
    </w:p>
    <w:p w14:paraId="2C6158D4" w14:textId="6975954E" w:rsidR="00302D3E" w:rsidRDefault="00302D3E">
      <w:r w:rsidRPr="00345C7D">
        <w:rPr>
          <w:b/>
          <w:bCs/>
        </w:rPr>
        <w:t>Petition:</w:t>
      </w:r>
      <w:r>
        <w:t xml:space="preserve"> </w:t>
      </w:r>
      <w:r w:rsidRPr="00302D3E">
        <w:t>https://law.unc.edu/wp-content/uploads/2025/12/20251210160621131_Johns-v-Georgia-Petition.pdf</w:t>
      </w:r>
    </w:p>
    <w:p w14:paraId="734C5A22" w14:textId="77777777" w:rsidR="00302D3E" w:rsidRDefault="00302D3E"/>
    <w:p w14:paraId="6ABA5593" w14:textId="66C688A8" w:rsidR="00302D3E" w:rsidRPr="00302D3E" w:rsidRDefault="00302D3E">
      <w:pPr>
        <w:rPr>
          <w:b/>
          <w:bCs/>
          <w:i/>
          <w:iCs/>
        </w:rPr>
      </w:pPr>
      <w:r w:rsidRPr="00302D3E">
        <w:rPr>
          <w:b/>
          <w:bCs/>
          <w:i/>
          <w:iCs/>
        </w:rPr>
        <w:t xml:space="preserve">Villarreal v. Alaniz, 25-29 </w:t>
      </w:r>
    </w:p>
    <w:p w14:paraId="20EDBC02" w14:textId="41D78582" w:rsidR="00BB6553" w:rsidRDefault="00302D3E" w:rsidP="00BB6553">
      <w:r w:rsidRPr="00302D3E">
        <w:rPr>
          <w:b/>
          <w:bCs/>
        </w:rPr>
        <w:t>Question presented:</w:t>
      </w:r>
      <w:r>
        <w:t xml:space="preserve"> </w:t>
      </w:r>
      <w:r w:rsidR="00BB6553">
        <w:t xml:space="preserve"> </w:t>
      </w:r>
      <w:r w:rsidR="00BB6553">
        <w:t>Respondents are police officers and prosecutors</w:t>
      </w:r>
      <w:r w:rsidR="00BB6553">
        <w:t xml:space="preserve"> </w:t>
      </w:r>
      <w:r w:rsidR="00BB6553">
        <w:t>who sent Petitioner Priscilla Villarreal to jail for</w:t>
      </w:r>
      <w:r w:rsidR="00BB6553">
        <w:t xml:space="preserve"> </w:t>
      </w:r>
      <w:r w:rsidR="00BB6553">
        <w:t>asking a police officer for facts and then reporting</w:t>
      </w:r>
      <w:r w:rsidR="00BB6553">
        <w:t xml:space="preserve"> </w:t>
      </w:r>
      <w:r w:rsidR="00BB6553">
        <w:t>what the officer volunteered. Those officials plotted</w:t>
      </w:r>
      <w:r w:rsidR="00BB6553">
        <w:t xml:space="preserve"> </w:t>
      </w:r>
      <w:r w:rsidR="00BB6553">
        <w:t>the local journalist’s arrest not for any legitimate</w:t>
      </w:r>
      <w:r w:rsidR="00BB6553">
        <w:t xml:space="preserve"> </w:t>
      </w:r>
      <w:r w:rsidR="00BB6553">
        <w:t>purpose, but to silence a vocal critic.</w:t>
      </w:r>
      <w:r w:rsidR="00BB6553">
        <w:t xml:space="preserve"> </w:t>
      </w:r>
    </w:p>
    <w:p w14:paraId="27DD9D78" w14:textId="699140BA" w:rsidR="00BB6553" w:rsidRDefault="00BB6553" w:rsidP="00BB6553">
      <w:r>
        <w:t xml:space="preserve">In a nine-to-seven </w:t>
      </w:r>
      <w:proofErr w:type="spellStart"/>
      <w:r>
        <w:t>en</w:t>
      </w:r>
      <w:proofErr w:type="spellEnd"/>
      <w:r>
        <w:t xml:space="preserve"> banc decision, the Fifth</w:t>
      </w:r>
      <w:r>
        <w:t xml:space="preserve"> </w:t>
      </w:r>
      <w:r>
        <w:t>Circuit held the officials have qualified immunity,</w:t>
      </w:r>
      <w:r>
        <w:t xml:space="preserve"> </w:t>
      </w:r>
      <w:r>
        <w:t>concluding it was reasonable to arrest Villarreal for</w:t>
      </w:r>
      <w:r>
        <w:t xml:space="preserve"> </w:t>
      </w:r>
      <w:r>
        <w:t>routine news reporting under a Texas felony statute</w:t>
      </w:r>
      <w:r>
        <w:t xml:space="preserve"> </w:t>
      </w:r>
      <w:r>
        <w:t>no local official had enforced in its 23-year history.</w:t>
      </w:r>
    </w:p>
    <w:p w14:paraId="55CA6FDF" w14:textId="56A195E9" w:rsidR="00BB6553" w:rsidRDefault="00BB6553" w:rsidP="00BB6553">
      <w:r>
        <w:t>This Court granted certiorari, vacated, and remanded</w:t>
      </w:r>
      <w:r>
        <w:t xml:space="preserve"> </w:t>
      </w:r>
      <w:r>
        <w:t xml:space="preserve">for further consideration </w:t>
      </w:r>
      <w:proofErr w:type="gramStart"/>
      <w:r>
        <w:t>in light of</w:t>
      </w:r>
      <w:proofErr w:type="gramEnd"/>
      <w:r>
        <w:t xml:space="preserve"> Gonzalez v.</w:t>
      </w:r>
      <w:r>
        <w:t xml:space="preserve"> </w:t>
      </w:r>
      <w:r>
        <w:t>Trevino, 602 U.S. 653 (2024) (per curiam).</w:t>
      </w:r>
      <w:r>
        <w:t xml:space="preserve"> </w:t>
      </w:r>
      <w:r>
        <w:t>But on remand, a splintered Fifth Circuit again</w:t>
      </w:r>
      <w:r>
        <w:t xml:space="preserve"> </w:t>
      </w:r>
      <w:r>
        <w:t>held the officials have qualified immunity and largely</w:t>
      </w:r>
      <w:r>
        <w:t xml:space="preserve"> </w:t>
      </w:r>
      <w:r>
        <w:t xml:space="preserve">restored “our previous </w:t>
      </w:r>
      <w:proofErr w:type="spellStart"/>
      <w:r>
        <w:t>en</w:t>
      </w:r>
      <w:proofErr w:type="spellEnd"/>
      <w:r>
        <w:t xml:space="preserve"> banc majority.” In dissent,</w:t>
      </w:r>
      <w:r>
        <w:t xml:space="preserve"> </w:t>
      </w:r>
      <w:r>
        <w:t>Judge Higginson remarked, “I do not think it is a</w:t>
      </w:r>
      <w:r>
        <w:t xml:space="preserve"> </w:t>
      </w:r>
      <w:r>
        <w:t>proper answer to the High Court to reinstate what we</w:t>
      </w:r>
      <w:r>
        <w:t xml:space="preserve"> </w:t>
      </w:r>
      <w:r>
        <w:t>mistakenly said before, just in different packaging.”</w:t>
      </w:r>
    </w:p>
    <w:p w14:paraId="5232905B" w14:textId="77777777" w:rsidR="00BB6553" w:rsidRDefault="00BB6553" w:rsidP="00BB6553">
      <w:r>
        <w:t>The questions presented are:</w:t>
      </w:r>
    </w:p>
    <w:p w14:paraId="5829BCA5" w14:textId="54CB61F6" w:rsidR="00BB6553" w:rsidRDefault="00BB6553" w:rsidP="00BB6553">
      <w:r>
        <w:lastRenderedPageBreak/>
        <w:t xml:space="preserve">1. Whether </w:t>
      </w:r>
      <w:proofErr w:type="gramStart"/>
      <w:r>
        <w:t>it obviously</w:t>
      </w:r>
      <w:proofErr w:type="gramEnd"/>
      <w:r>
        <w:t xml:space="preserve"> violates the First</w:t>
      </w:r>
      <w:r>
        <w:t xml:space="preserve"> </w:t>
      </w:r>
      <w:r>
        <w:t>Amendment to arrest someone for asking government</w:t>
      </w:r>
      <w:r>
        <w:t xml:space="preserve"> </w:t>
      </w:r>
      <w:r>
        <w:t>officials questions and publishing the information</w:t>
      </w:r>
      <w:r>
        <w:t xml:space="preserve"> </w:t>
      </w:r>
      <w:r>
        <w:t>they volunteer.</w:t>
      </w:r>
    </w:p>
    <w:p w14:paraId="65EE3E0A" w14:textId="65AAD76F" w:rsidR="00BB6553" w:rsidRDefault="00BB6553" w:rsidP="00BB6553">
      <w:r>
        <w:t>2. Whether qualified immunity is unavailable to</w:t>
      </w:r>
      <w:r>
        <w:t xml:space="preserve"> </w:t>
      </w:r>
      <w:r>
        <w:t>public officials who use a state statute in a way that</w:t>
      </w:r>
      <w:r>
        <w:t xml:space="preserve"> </w:t>
      </w:r>
      <w:r>
        <w:t>obviously violates the First Amendment, as decisions</w:t>
      </w:r>
      <w:r>
        <w:t xml:space="preserve"> </w:t>
      </w:r>
      <w:r>
        <w:t>from the Sixth, Eighth, and Tenth Circuits have held,</w:t>
      </w:r>
      <w:r>
        <w:t xml:space="preserve"> </w:t>
      </w:r>
      <w:r>
        <w:t>or whether qualified immunity shields those officials,</w:t>
      </w:r>
      <w:r>
        <w:t xml:space="preserve"> </w:t>
      </w:r>
      <w:r>
        <w:t>as the Fifth Circuit held below.</w:t>
      </w:r>
    </w:p>
    <w:p w14:paraId="35FD0AAB" w14:textId="77777777" w:rsidR="00BB6553" w:rsidRDefault="00BB6553" w:rsidP="00302D3E"/>
    <w:p w14:paraId="22E284B2" w14:textId="0B3B92A5" w:rsidR="00302D3E" w:rsidRDefault="00BB6553" w:rsidP="00302D3E">
      <w:r w:rsidRPr="00BB6553">
        <w:rPr>
          <w:b/>
          <w:bCs/>
        </w:rPr>
        <w:t>Counterstatement of the question presented:</w:t>
      </w:r>
      <w:r>
        <w:t xml:space="preserve"> </w:t>
      </w:r>
      <w:r w:rsidR="00302D3E">
        <w:t xml:space="preserve">Qualified immunity protects government officials from personal liability unless they violate a “clearly established” constitutional right. Respondents arrested Petitioner, pursuant to a warrant issued by a magistrate, for violation of a duly enacted state statute that had never been held unconstitutional by any court. Without reaching the merits of Petitioner’s First Amendment argument, the </w:t>
      </w:r>
      <w:proofErr w:type="spellStart"/>
      <w:r w:rsidR="00302D3E">
        <w:t>en</w:t>
      </w:r>
      <w:proofErr w:type="spellEnd"/>
      <w:r w:rsidR="00302D3E">
        <w:t xml:space="preserve"> banc Fifth Circuit held that Respondents did not violate any right that was clearly established at the time of the arrest in 2017. Did the Fifth Circuit err?</w:t>
      </w:r>
    </w:p>
    <w:p w14:paraId="3295004A" w14:textId="77777777" w:rsidR="00302D3E" w:rsidRDefault="00302D3E" w:rsidP="00302D3E"/>
    <w:p w14:paraId="174D1D18" w14:textId="77777777" w:rsidR="00302D3E" w:rsidRDefault="00302D3E" w:rsidP="00302D3E">
      <w:r w:rsidRPr="00302D3E">
        <w:rPr>
          <w:b/>
          <w:bCs/>
        </w:rPr>
        <w:t>Brief in opposition:</w:t>
      </w:r>
      <w:r>
        <w:t xml:space="preserve"> </w:t>
      </w:r>
      <w:r w:rsidRPr="00302D3E">
        <w:t>https://law.unc.edu/wp-content/uploads/2025/11/No.-25-29_Brief-in-Opposition.pdf</w:t>
      </w:r>
    </w:p>
    <w:p w14:paraId="65F230F5" w14:textId="77777777" w:rsidR="00302D3E" w:rsidRDefault="00302D3E" w:rsidP="00302D3E"/>
    <w:p w14:paraId="39C39F40" w14:textId="77777777" w:rsidR="00302D3E" w:rsidRDefault="00302D3E" w:rsidP="00302D3E"/>
    <w:p w14:paraId="5EF3DECD" w14:textId="453F38C1" w:rsidR="00302D3E" w:rsidRPr="00302D3E" w:rsidRDefault="00302D3E" w:rsidP="00302D3E">
      <w:pPr>
        <w:rPr>
          <w:b/>
          <w:bCs/>
          <w:i/>
          <w:iCs/>
        </w:rPr>
      </w:pPr>
      <w:r w:rsidRPr="00302D3E">
        <w:rPr>
          <w:b/>
          <w:bCs/>
          <w:i/>
          <w:iCs/>
        </w:rPr>
        <w:t>Bembury v. Kentucky, 23-802</w:t>
      </w:r>
    </w:p>
    <w:p w14:paraId="696264A8" w14:textId="194D12C0" w:rsidR="00302D3E" w:rsidRDefault="00302D3E" w:rsidP="00302D3E">
      <w:r w:rsidRPr="00302D3E">
        <w:rPr>
          <w:b/>
          <w:bCs/>
        </w:rPr>
        <w:t>Question presented:</w:t>
      </w:r>
      <w:r>
        <w:t xml:space="preserve"> </w:t>
      </w:r>
      <w:r w:rsidRPr="00302D3E">
        <w:t>Does the exception to the Fourth Amendment’s warrant requirement for searches incident to arrest permit a warrantless search of a backpack, purse, luggage, or other external container in the arrestee’s possession at the time of arrest, if, at the time of the search, the container is separated from the person and there is no reasonable possibility the arrestee could access the container to obtain a weapon or destroy evidence?</w:t>
      </w:r>
    </w:p>
    <w:p w14:paraId="36473419" w14:textId="01BDA262" w:rsidR="00302D3E" w:rsidRDefault="00302D3E" w:rsidP="00302D3E">
      <w:r w:rsidRPr="00302D3E">
        <w:rPr>
          <w:b/>
          <w:bCs/>
        </w:rPr>
        <w:t>Petition:</w:t>
      </w:r>
      <w:r>
        <w:t xml:space="preserve">  </w:t>
      </w:r>
      <w:r w:rsidRPr="00302D3E">
        <w:t>https://law.unc.edu/wp-content/uploads/2025/01/Bembury-v-Commonwealth-of-Kentucky-Petition.pdf</w:t>
      </w:r>
    </w:p>
    <w:p w14:paraId="40B19FC2" w14:textId="2E66E6FB" w:rsidR="00302D3E" w:rsidRDefault="00302D3E" w:rsidP="00302D3E">
      <w:r w:rsidRPr="00302D3E">
        <w:rPr>
          <w:b/>
          <w:bCs/>
        </w:rPr>
        <w:t>Reply:</w:t>
      </w:r>
      <w:r>
        <w:t xml:space="preserve"> </w:t>
      </w:r>
      <w:r w:rsidRPr="00302D3E">
        <w:t>https://law.unc.edu/wp-content/uploads/2024/05/Bembury-Reply-Brief.pdf</w:t>
      </w:r>
    </w:p>
    <w:p w14:paraId="64853D62" w14:textId="77777777" w:rsidR="00302D3E" w:rsidRDefault="00302D3E" w:rsidP="00302D3E"/>
    <w:p w14:paraId="59ACE701" w14:textId="1BD7370A" w:rsidR="00302D3E" w:rsidRPr="00302D3E" w:rsidRDefault="00302D3E" w:rsidP="00302D3E">
      <w:pPr>
        <w:rPr>
          <w:b/>
          <w:bCs/>
          <w:u w:val="single"/>
        </w:rPr>
      </w:pPr>
      <w:r w:rsidRPr="00302D3E">
        <w:rPr>
          <w:b/>
          <w:bCs/>
          <w:u w:val="single"/>
        </w:rPr>
        <w:t>Amicus briefs</w:t>
      </w:r>
    </w:p>
    <w:p w14:paraId="1D371FAA" w14:textId="77777777" w:rsidR="00302D3E" w:rsidRPr="00302D3E" w:rsidRDefault="00302D3E" w:rsidP="00302D3E">
      <w:r w:rsidRPr="00302D3E">
        <w:lastRenderedPageBreak/>
        <w:t>FDA v Alliance for Hippocratic Medicine</w:t>
      </w:r>
    </w:p>
    <w:p w14:paraId="124B429E" w14:textId="4491820E" w:rsidR="00302D3E" w:rsidRPr="00302D3E" w:rsidRDefault="00302D3E" w:rsidP="00302D3E">
      <w:r>
        <w:rPr>
          <w:b/>
          <w:bCs/>
        </w:rPr>
        <w:t xml:space="preserve"> </w:t>
      </w:r>
      <w:r w:rsidRPr="00302D3E">
        <w:rPr>
          <w:b/>
          <w:bCs/>
        </w:rPr>
        <w:t>https://law.unc.edu/wp-content/uploads/2024/02/DancoAmicus.pdf</w:t>
      </w:r>
    </w:p>
    <w:p w14:paraId="0919EDAE" w14:textId="0DA9F059" w:rsidR="00302D3E" w:rsidRPr="00302D3E" w:rsidRDefault="00302D3E" w:rsidP="00302D3E">
      <w:r w:rsidRPr="00302D3E">
        <w:t xml:space="preserve">Great Lakes Insurance SE v. Raiders Retreat </w:t>
      </w:r>
      <w:r w:rsidRPr="00302D3E">
        <w:rPr>
          <w:b/>
          <w:bCs/>
        </w:rPr>
        <w:t>http://www.supremecourt.gov/DocketPDF/22/22-500/267982/20230531110903539_No.%2022-500_Brief.pdf</w:t>
      </w:r>
    </w:p>
    <w:p w14:paraId="5531BD67" w14:textId="77777777" w:rsidR="00302D3E" w:rsidRDefault="00302D3E" w:rsidP="00302D3E">
      <w:pPr>
        <w:rPr>
          <w:b/>
          <w:bCs/>
        </w:rPr>
      </w:pPr>
      <w:r w:rsidRPr="00302D3E">
        <w:rPr>
          <w:b/>
          <w:bCs/>
        </w:rPr>
        <w:t>Torres v. Texas Department of Public Safety</w:t>
      </w:r>
    </w:p>
    <w:p w14:paraId="0FC8A091" w14:textId="175F7829" w:rsidR="00302D3E" w:rsidRPr="00302D3E" w:rsidRDefault="00302D3E" w:rsidP="00302D3E">
      <w:r w:rsidRPr="00302D3E">
        <w:t>https://www.supremecourt.gov/DocketPDF/20/20-603/213465/20220207134045042_20-603_Amicus%20Brief.pdf</w:t>
      </w:r>
    </w:p>
    <w:p w14:paraId="44174734" w14:textId="77777777" w:rsidR="00302D3E" w:rsidRDefault="00302D3E" w:rsidP="00302D3E"/>
    <w:sectPr w:rsidR="00302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74E73"/>
    <w:multiLevelType w:val="hybridMultilevel"/>
    <w:tmpl w:val="BD12DB56"/>
    <w:lvl w:ilvl="0" w:tplc="31A26D4A">
      <w:start w:val="1"/>
      <w:numFmt w:val="bullet"/>
      <w:lvlText w:val="•"/>
      <w:lvlJc w:val="left"/>
      <w:pPr>
        <w:tabs>
          <w:tab w:val="num" w:pos="720"/>
        </w:tabs>
        <w:ind w:left="720" w:hanging="360"/>
      </w:pPr>
      <w:rPr>
        <w:rFonts w:ascii="Arial" w:hAnsi="Arial" w:hint="default"/>
      </w:rPr>
    </w:lvl>
    <w:lvl w:ilvl="1" w:tplc="219CC164" w:tentative="1">
      <w:start w:val="1"/>
      <w:numFmt w:val="bullet"/>
      <w:lvlText w:val="•"/>
      <w:lvlJc w:val="left"/>
      <w:pPr>
        <w:tabs>
          <w:tab w:val="num" w:pos="1440"/>
        </w:tabs>
        <w:ind w:left="1440" w:hanging="360"/>
      </w:pPr>
      <w:rPr>
        <w:rFonts w:ascii="Arial" w:hAnsi="Arial" w:hint="default"/>
      </w:rPr>
    </w:lvl>
    <w:lvl w:ilvl="2" w:tplc="BC020EC8" w:tentative="1">
      <w:start w:val="1"/>
      <w:numFmt w:val="bullet"/>
      <w:lvlText w:val="•"/>
      <w:lvlJc w:val="left"/>
      <w:pPr>
        <w:tabs>
          <w:tab w:val="num" w:pos="2160"/>
        </w:tabs>
        <w:ind w:left="2160" w:hanging="360"/>
      </w:pPr>
      <w:rPr>
        <w:rFonts w:ascii="Arial" w:hAnsi="Arial" w:hint="default"/>
      </w:rPr>
    </w:lvl>
    <w:lvl w:ilvl="3" w:tplc="77DEFFCE" w:tentative="1">
      <w:start w:val="1"/>
      <w:numFmt w:val="bullet"/>
      <w:lvlText w:val="•"/>
      <w:lvlJc w:val="left"/>
      <w:pPr>
        <w:tabs>
          <w:tab w:val="num" w:pos="2880"/>
        </w:tabs>
        <w:ind w:left="2880" w:hanging="360"/>
      </w:pPr>
      <w:rPr>
        <w:rFonts w:ascii="Arial" w:hAnsi="Arial" w:hint="default"/>
      </w:rPr>
    </w:lvl>
    <w:lvl w:ilvl="4" w:tplc="337EBB8C" w:tentative="1">
      <w:start w:val="1"/>
      <w:numFmt w:val="bullet"/>
      <w:lvlText w:val="•"/>
      <w:lvlJc w:val="left"/>
      <w:pPr>
        <w:tabs>
          <w:tab w:val="num" w:pos="3600"/>
        </w:tabs>
        <w:ind w:left="3600" w:hanging="360"/>
      </w:pPr>
      <w:rPr>
        <w:rFonts w:ascii="Arial" w:hAnsi="Arial" w:hint="default"/>
      </w:rPr>
    </w:lvl>
    <w:lvl w:ilvl="5" w:tplc="7E144F32" w:tentative="1">
      <w:start w:val="1"/>
      <w:numFmt w:val="bullet"/>
      <w:lvlText w:val="•"/>
      <w:lvlJc w:val="left"/>
      <w:pPr>
        <w:tabs>
          <w:tab w:val="num" w:pos="4320"/>
        </w:tabs>
        <w:ind w:left="4320" w:hanging="360"/>
      </w:pPr>
      <w:rPr>
        <w:rFonts w:ascii="Arial" w:hAnsi="Arial" w:hint="default"/>
      </w:rPr>
    </w:lvl>
    <w:lvl w:ilvl="6" w:tplc="C9F428CC" w:tentative="1">
      <w:start w:val="1"/>
      <w:numFmt w:val="bullet"/>
      <w:lvlText w:val="•"/>
      <w:lvlJc w:val="left"/>
      <w:pPr>
        <w:tabs>
          <w:tab w:val="num" w:pos="5040"/>
        </w:tabs>
        <w:ind w:left="5040" w:hanging="360"/>
      </w:pPr>
      <w:rPr>
        <w:rFonts w:ascii="Arial" w:hAnsi="Arial" w:hint="default"/>
      </w:rPr>
    </w:lvl>
    <w:lvl w:ilvl="7" w:tplc="A642A90C" w:tentative="1">
      <w:start w:val="1"/>
      <w:numFmt w:val="bullet"/>
      <w:lvlText w:val="•"/>
      <w:lvlJc w:val="left"/>
      <w:pPr>
        <w:tabs>
          <w:tab w:val="num" w:pos="5760"/>
        </w:tabs>
        <w:ind w:left="5760" w:hanging="360"/>
      </w:pPr>
      <w:rPr>
        <w:rFonts w:ascii="Arial" w:hAnsi="Arial" w:hint="default"/>
      </w:rPr>
    </w:lvl>
    <w:lvl w:ilvl="8" w:tplc="C0BEE0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5CD0146"/>
    <w:multiLevelType w:val="hybridMultilevel"/>
    <w:tmpl w:val="4636F6FE"/>
    <w:lvl w:ilvl="0" w:tplc="2A3C90C2">
      <w:start w:val="1"/>
      <w:numFmt w:val="bullet"/>
      <w:lvlText w:val="•"/>
      <w:lvlJc w:val="left"/>
      <w:pPr>
        <w:tabs>
          <w:tab w:val="num" w:pos="720"/>
        </w:tabs>
        <w:ind w:left="720" w:hanging="360"/>
      </w:pPr>
      <w:rPr>
        <w:rFonts w:ascii="Arial" w:hAnsi="Arial" w:hint="default"/>
      </w:rPr>
    </w:lvl>
    <w:lvl w:ilvl="1" w:tplc="D6565DB8" w:tentative="1">
      <w:start w:val="1"/>
      <w:numFmt w:val="bullet"/>
      <w:lvlText w:val="•"/>
      <w:lvlJc w:val="left"/>
      <w:pPr>
        <w:tabs>
          <w:tab w:val="num" w:pos="1440"/>
        </w:tabs>
        <w:ind w:left="1440" w:hanging="360"/>
      </w:pPr>
      <w:rPr>
        <w:rFonts w:ascii="Arial" w:hAnsi="Arial" w:hint="default"/>
      </w:rPr>
    </w:lvl>
    <w:lvl w:ilvl="2" w:tplc="C9544484" w:tentative="1">
      <w:start w:val="1"/>
      <w:numFmt w:val="bullet"/>
      <w:lvlText w:val="•"/>
      <w:lvlJc w:val="left"/>
      <w:pPr>
        <w:tabs>
          <w:tab w:val="num" w:pos="2160"/>
        </w:tabs>
        <w:ind w:left="2160" w:hanging="360"/>
      </w:pPr>
      <w:rPr>
        <w:rFonts w:ascii="Arial" w:hAnsi="Arial" w:hint="default"/>
      </w:rPr>
    </w:lvl>
    <w:lvl w:ilvl="3" w:tplc="0DE8E9BA" w:tentative="1">
      <w:start w:val="1"/>
      <w:numFmt w:val="bullet"/>
      <w:lvlText w:val="•"/>
      <w:lvlJc w:val="left"/>
      <w:pPr>
        <w:tabs>
          <w:tab w:val="num" w:pos="2880"/>
        </w:tabs>
        <w:ind w:left="2880" w:hanging="360"/>
      </w:pPr>
      <w:rPr>
        <w:rFonts w:ascii="Arial" w:hAnsi="Arial" w:hint="default"/>
      </w:rPr>
    </w:lvl>
    <w:lvl w:ilvl="4" w:tplc="2344398A" w:tentative="1">
      <w:start w:val="1"/>
      <w:numFmt w:val="bullet"/>
      <w:lvlText w:val="•"/>
      <w:lvlJc w:val="left"/>
      <w:pPr>
        <w:tabs>
          <w:tab w:val="num" w:pos="3600"/>
        </w:tabs>
        <w:ind w:left="3600" w:hanging="360"/>
      </w:pPr>
      <w:rPr>
        <w:rFonts w:ascii="Arial" w:hAnsi="Arial" w:hint="default"/>
      </w:rPr>
    </w:lvl>
    <w:lvl w:ilvl="5" w:tplc="C854C2DE" w:tentative="1">
      <w:start w:val="1"/>
      <w:numFmt w:val="bullet"/>
      <w:lvlText w:val="•"/>
      <w:lvlJc w:val="left"/>
      <w:pPr>
        <w:tabs>
          <w:tab w:val="num" w:pos="4320"/>
        </w:tabs>
        <w:ind w:left="4320" w:hanging="360"/>
      </w:pPr>
      <w:rPr>
        <w:rFonts w:ascii="Arial" w:hAnsi="Arial" w:hint="default"/>
      </w:rPr>
    </w:lvl>
    <w:lvl w:ilvl="6" w:tplc="3BEC4B28" w:tentative="1">
      <w:start w:val="1"/>
      <w:numFmt w:val="bullet"/>
      <w:lvlText w:val="•"/>
      <w:lvlJc w:val="left"/>
      <w:pPr>
        <w:tabs>
          <w:tab w:val="num" w:pos="5040"/>
        </w:tabs>
        <w:ind w:left="5040" w:hanging="360"/>
      </w:pPr>
      <w:rPr>
        <w:rFonts w:ascii="Arial" w:hAnsi="Arial" w:hint="default"/>
      </w:rPr>
    </w:lvl>
    <w:lvl w:ilvl="7" w:tplc="8A289558" w:tentative="1">
      <w:start w:val="1"/>
      <w:numFmt w:val="bullet"/>
      <w:lvlText w:val="•"/>
      <w:lvlJc w:val="left"/>
      <w:pPr>
        <w:tabs>
          <w:tab w:val="num" w:pos="5760"/>
        </w:tabs>
        <w:ind w:left="5760" w:hanging="360"/>
      </w:pPr>
      <w:rPr>
        <w:rFonts w:ascii="Arial" w:hAnsi="Arial" w:hint="default"/>
      </w:rPr>
    </w:lvl>
    <w:lvl w:ilvl="8" w:tplc="D6481F6C" w:tentative="1">
      <w:start w:val="1"/>
      <w:numFmt w:val="bullet"/>
      <w:lvlText w:val="•"/>
      <w:lvlJc w:val="left"/>
      <w:pPr>
        <w:tabs>
          <w:tab w:val="num" w:pos="6480"/>
        </w:tabs>
        <w:ind w:left="6480" w:hanging="360"/>
      </w:pPr>
      <w:rPr>
        <w:rFonts w:ascii="Arial" w:hAnsi="Arial" w:hint="default"/>
      </w:rPr>
    </w:lvl>
  </w:abstractNum>
  <w:num w:numId="1" w16cid:durableId="1531525826">
    <w:abstractNumId w:val="1"/>
  </w:num>
  <w:num w:numId="2" w16cid:durableId="74831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E"/>
    <w:rsid w:val="00253827"/>
    <w:rsid w:val="00257B88"/>
    <w:rsid w:val="00302D3E"/>
    <w:rsid w:val="003162A6"/>
    <w:rsid w:val="00345C7D"/>
    <w:rsid w:val="00686571"/>
    <w:rsid w:val="00833B26"/>
    <w:rsid w:val="008E7C3E"/>
    <w:rsid w:val="009C2900"/>
    <w:rsid w:val="00B06EAE"/>
    <w:rsid w:val="00B33899"/>
    <w:rsid w:val="00BB6553"/>
    <w:rsid w:val="00CA597C"/>
    <w:rsid w:val="00DE14B6"/>
    <w:rsid w:val="00EC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CE6E"/>
  <w15:chartTrackingRefBased/>
  <w15:docId w15:val="{871FC72A-6061-4AE4-A2D1-87D44CA6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D3E"/>
    <w:rPr>
      <w:rFonts w:eastAsiaTheme="majorEastAsia" w:cstheme="majorBidi"/>
      <w:color w:val="272727" w:themeColor="text1" w:themeTint="D8"/>
    </w:rPr>
  </w:style>
  <w:style w:type="paragraph" w:styleId="Title">
    <w:name w:val="Title"/>
    <w:basedOn w:val="Normal"/>
    <w:next w:val="Normal"/>
    <w:link w:val="TitleChar"/>
    <w:uiPriority w:val="10"/>
    <w:qFormat/>
    <w:rsid w:val="0030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D3E"/>
    <w:pPr>
      <w:spacing w:before="160"/>
      <w:jc w:val="center"/>
    </w:pPr>
    <w:rPr>
      <w:i/>
      <w:iCs/>
      <w:color w:val="404040" w:themeColor="text1" w:themeTint="BF"/>
    </w:rPr>
  </w:style>
  <w:style w:type="character" w:customStyle="1" w:styleId="QuoteChar">
    <w:name w:val="Quote Char"/>
    <w:basedOn w:val="DefaultParagraphFont"/>
    <w:link w:val="Quote"/>
    <w:uiPriority w:val="29"/>
    <w:rsid w:val="00302D3E"/>
    <w:rPr>
      <w:i/>
      <w:iCs/>
      <w:color w:val="404040" w:themeColor="text1" w:themeTint="BF"/>
    </w:rPr>
  </w:style>
  <w:style w:type="paragraph" w:styleId="ListParagraph">
    <w:name w:val="List Paragraph"/>
    <w:basedOn w:val="Normal"/>
    <w:uiPriority w:val="34"/>
    <w:qFormat/>
    <w:rsid w:val="00302D3E"/>
    <w:pPr>
      <w:ind w:left="720"/>
      <w:contextualSpacing/>
    </w:pPr>
  </w:style>
  <w:style w:type="character" w:styleId="IntenseEmphasis">
    <w:name w:val="Intense Emphasis"/>
    <w:basedOn w:val="DefaultParagraphFont"/>
    <w:uiPriority w:val="21"/>
    <w:qFormat/>
    <w:rsid w:val="00302D3E"/>
    <w:rPr>
      <w:i/>
      <w:iCs/>
      <w:color w:val="0F4761" w:themeColor="accent1" w:themeShade="BF"/>
    </w:rPr>
  </w:style>
  <w:style w:type="paragraph" w:styleId="IntenseQuote">
    <w:name w:val="Intense Quote"/>
    <w:basedOn w:val="Normal"/>
    <w:next w:val="Normal"/>
    <w:link w:val="IntenseQuoteChar"/>
    <w:uiPriority w:val="30"/>
    <w:qFormat/>
    <w:rsid w:val="00302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D3E"/>
    <w:rPr>
      <w:i/>
      <w:iCs/>
      <w:color w:val="0F4761" w:themeColor="accent1" w:themeShade="BF"/>
    </w:rPr>
  </w:style>
  <w:style w:type="character" w:styleId="IntenseReference">
    <w:name w:val="Intense Reference"/>
    <w:basedOn w:val="DefaultParagraphFont"/>
    <w:uiPriority w:val="32"/>
    <w:qFormat/>
    <w:rsid w:val="00302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Hessick, Andy</dc:creator>
  <cp:keywords/>
  <dc:description/>
  <cp:lastModifiedBy>Hessick, Andy</cp:lastModifiedBy>
  <cp:revision>6</cp:revision>
  <dcterms:created xsi:type="dcterms:W3CDTF">2026-02-08T14:50:00Z</dcterms:created>
  <dcterms:modified xsi:type="dcterms:W3CDTF">2026-02-08T21:38:00Z</dcterms:modified>
</cp:coreProperties>
</file>